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DCD4C">
      <w:pPr>
        <w:jc w:val="right"/>
      </w:pPr>
      <w:bookmarkStart w:id="0" w:name="_GoBack"/>
      <w:r>
        <w:rPr>
          <w:rFonts w:ascii="Times New Roman" w:hAnsi="Times New Roman" w:eastAsia="宋体"/>
          <w:b/>
          <w:color w:val="000000"/>
          <w:sz w:val="24"/>
        </w:rPr>
        <w:t>附件2</w:t>
      </w:r>
    </w:p>
    <w:p w14:paraId="0F6B4FFC">
      <w:pPr>
        <w:spacing w:after="40"/>
      </w:pPr>
    </w:p>
    <w:tbl>
      <w:tblPr>
        <w:tblStyle w:val="3"/>
        <w:tblW w:w="9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4"/>
        <w:gridCol w:w="4447"/>
      </w:tblGrid>
      <w:tr w14:paraId="73DF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4" w:type="dxa"/>
            <w:vAlign w:val="center"/>
          </w:tcPr>
          <w:p w14:paraId="214E91F2">
            <w:pPr>
              <w:spacing w:before="20" w:after="20" w:line="288" w:lineRule="auto"/>
              <w:ind w:firstLine="0"/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32"/>
                <w:szCs w:val="32"/>
              </w:rPr>
              <w:t>采购要求</w:t>
            </w:r>
          </w:p>
        </w:tc>
        <w:tc>
          <w:tcPr>
            <w:tcW w:w="4447" w:type="dxa"/>
            <w:vAlign w:val="center"/>
          </w:tcPr>
          <w:p w14:paraId="20F46745"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32"/>
                <w:szCs w:val="32"/>
              </w:rPr>
              <w:t>含税总价（唯一报价，万元）</w:t>
            </w:r>
          </w:p>
        </w:tc>
      </w:tr>
      <w:tr w14:paraId="7545E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4" w:type="dxa"/>
            <w:shd w:val="clear" w:color="auto" w:fill="auto"/>
            <w:vAlign w:val="top"/>
          </w:tcPr>
          <w:p w14:paraId="263243A0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（一）服务内容</w:t>
            </w:r>
          </w:p>
          <w:p w14:paraId="2E079DE0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1.网络设备硬件维护：提供设备安装、配置、维护和升级；定期检查交换机、路由器、防火墙等设备状态并及时排故修复；管理设备访问权限、保障网络安全；配合采购方记录核心机房服务器运行情况；</w:t>
            </w:r>
          </w:p>
          <w:p w14:paraId="16D9DD52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2.网络设备软件维护：对路由器、交换机、服务器等关键设备定期检查、保养与更新；负责网络设备软件系统的配置与升级，确保安全、稳定；</w:t>
            </w:r>
          </w:p>
          <w:p w14:paraId="41E34C1B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3.网络配置与优化：分析设备性能指标并提供优化建议方案；优化网络拓扑结构，提高传输效率和带宽利用率；监测网络流量，提供流量管理与负载均衡策略；</w:t>
            </w:r>
          </w:p>
          <w:p w14:paraId="607597A3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4.安全防范与处理：实时检测网络设备运行状态、保障网络畅通；利用监控工具持续跟踪流量、设备性能等关键指标，发现异常及时定位并排查处理；</w:t>
            </w:r>
          </w:p>
          <w:p w14:paraId="2C439025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5.服务评估和监控：每月提供一次书面巡检报告，每半年提供一次书面服务总结（含服务内容、故障处理情况和网络性能分析）；统计分析设备使用与性能并出具数据报告及建议；配合采购方统计相关信息；</w:t>
            </w:r>
          </w:p>
          <w:p w14:paraId="3912DB7F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6.信息端口维护：规整弱电井中的信息端口，整理并标注线缆；根据采购方需要进行信息端口的调配联接；</w:t>
            </w:r>
          </w:p>
          <w:p w14:paraId="18575B47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7.信息发布系统维护：定期检查设备运行状态、清理灰尘、处置故障设备并协助恢复功能；优化数据库和应用程序配置以提高运行效率；定期备份数据，防止丢失并在系统故障时快速恢复；</w:t>
            </w:r>
          </w:p>
          <w:p w14:paraId="5FFC5B11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8.配合博物馆其他需要核心机房处理的事项（如配合上级部门检查、配合第三方通信运营商对网络进行改造升级等）；</w:t>
            </w:r>
          </w:p>
          <w:p w14:paraId="47ADACDC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9.协助管理馆内已部署系统（如网络端口修改与新开通、无线AP位置变动等）。</w:t>
            </w:r>
          </w:p>
          <w:p w14:paraId="729ED558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（二）服务要求</w:t>
            </w:r>
          </w:p>
          <w:p w14:paraId="1DDA32EA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1.供应商应完全按照采购人工作量清单和相关要求提供服务，符合国家有关维修维护服务质量验收规范标准；</w:t>
            </w:r>
          </w:p>
          <w:p w14:paraId="29C7059D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每月提供一次书面巡检报告、每半年提供一次书面服务总结；每季度对弱电井和机房主要设备进行常规维护保养（除尘、电源检查、线路检查及紧固、设备状态检查、服务器数据库与系统日志检查、备份、清理）；每年至少进行一次系统性检测并提交书面检测报告；</w:t>
            </w:r>
          </w:p>
          <w:p w14:paraId="3EADAF83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3.实时检测网络设备运行状态，持续跟踪网络流量与设备性能等关键指标，发现异常及时定位并排查处理，保障网络畅通；</w:t>
            </w:r>
          </w:p>
          <w:p w14:paraId="15942003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4.做好设备资料建档与保密工作，对履约过程中知悉的采购人工作信息和资料严格保密，不得向第三方透露。</w:t>
            </w:r>
          </w:p>
          <w:p w14:paraId="75E21C4B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（三）人员要求</w:t>
            </w:r>
          </w:p>
          <w:p w14:paraId="06AC13A6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1.为本项目配备维保工程师不低于2名；每日驻馆专业维保工程师1名（09:00—闭馆）负责日常检查维护；</w:t>
            </w:r>
          </w:p>
          <w:p w14:paraId="505D15C3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2.大型接待、重要活动、国家法定节假日和假日期间配备1名维保工程师驻场保障；</w:t>
            </w:r>
          </w:p>
          <w:p w14:paraId="1B287311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3.维保团队人员原则上不得变更，确需变更须报采购人审核同意，且变更人员技术（职称水平）不得低于变更前人员。</w:t>
            </w:r>
          </w:p>
          <w:p w14:paraId="4CC01303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（四）商务（付款）要求</w:t>
            </w:r>
          </w:p>
          <w:p w14:paraId="3C255B51">
            <w:pPr>
              <w:spacing w:before="0" w:after="20" w:line="288" w:lineRule="auto"/>
              <w:ind w:firstLine="0" w:firstLineChars="0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款项按首付款、半年款、尾款三期支付，比例为4:4:2，即首付款40%、半年款40%、尾款20%：首付款于合同签订后支付；半年款于半年服务期满并考核验收合格后支付；尾款于年度服务期满并验收合格后支付。报价为完成全部服务内容的含税总价，已包含人工、材料、设备、交通、管理、保险、税费、利润等一切费用。</w:t>
            </w:r>
          </w:p>
        </w:tc>
        <w:tc>
          <w:tcPr>
            <w:tcW w:w="4447" w:type="dxa"/>
            <w:shd w:val="clear" w:color="auto" w:fill="auto"/>
            <w:vAlign w:val="center"/>
          </w:tcPr>
          <w:p w14:paraId="5CD805C1">
            <w:pPr>
              <w:spacing w:after="0" w:line="33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含税总价（小写）</w:t>
            </w:r>
          </w:p>
          <w:p w14:paraId="03DEF6D1">
            <w:pPr>
              <w:spacing w:after="0" w:line="33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￥____________万元</w:t>
            </w:r>
          </w:p>
          <w:p w14:paraId="01D55878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（不报分项，仅报总价）</w:t>
            </w:r>
          </w:p>
        </w:tc>
      </w:tr>
    </w:tbl>
    <w:p w14:paraId="6D1A8C83">
      <w:pPr>
        <w:tabs>
          <w:tab w:val="left" w:pos="2096"/>
        </w:tabs>
        <w:bidi w:val="0"/>
        <w:jc w:val="left"/>
        <w:rPr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C08CA"/>
    <w:rsid w:val="1F3E1CF0"/>
    <w:rsid w:val="2AA72332"/>
    <w:rsid w:val="361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741</Words>
  <Characters>769</Characters>
  <Lines>0</Lines>
  <Paragraphs>0</Paragraphs>
  <TotalTime>0</TotalTime>
  <ScaleCrop>false</ScaleCrop>
  <LinksUpToDate>false</LinksUpToDate>
  <CharactersWithSpaces>770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2026-11-06T11:57:00Z</dcterms:created>
  <dc:creator>HP</dc:creator>
  <cp:lastModifiedBy>HP</cp:lastModifiedBy>
  <dcterms:modified xsi:type="dcterms:W3CDTF">2026-11-06T12:14:23Z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B38E7AAEC4894DEFB3906898399ABAD8_13</vt:lpwstr>
  </property>
  <property fmtid="{D5CDD505-2E9C-101B-9397-08002B2CF9AE}" pid="4" name="KSOTemplateDocerSaveRecord">
    <vt:lpwstr>eyJoZGlkIjoiNzNkYTIwZWJkOGNhZWRlNDRmZmNmNGY4MDM4OTM5ZGQifQ==</vt:lpwstr>
  </property>
</Properties>
</file>