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</w:t>
      </w:r>
    </w:p>
    <w:p>
      <w:pPr>
        <w:tabs>
          <w:tab w:val="left" w:pos="312"/>
        </w:tabs>
        <w:ind w:left="560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580" w:lineRule="exact"/>
        <w:jc w:val="center"/>
        <w:rPr>
          <w:rFonts w:hint="default" w:ascii="方正黑体_GBK" w:hAnsi="方正黑体_GBK" w:eastAsia="方正小标宋_GBK" w:cs="方正黑体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项目需求及技术规格要求</w:t>
      </w:r>
    </w:p>
    <w:p>
      <w:pPr>
        <w:ind w:firstLine="480" w:firstLineChars="200"/>
        <w:rPr>
          <w:rFonts w:ascii="汉仪中宋简" w:eastAsia="汉仪中宋简"/>
          <w:sz w:val="24"/>
        </w:rPr>
      </w:pP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确保该项目保质保量完成，响应征集单位应提供以下材料，并满足相关技术规格要求如下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一、运营提案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（一）合作方案：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提案单位需要提供完整且成体系的运营方案（合作优势、合作模式、合作周期、合作投入、运营服务、销售价格、收益分配与结算方式）；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（二）AR眼镜产品：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提案单位需要提供A</w:t>
      </w:r>
      <w:r>
        <w:rPr>
          <w:rFonts w:ascii="方正仿宋_GBK" w:hAnsi="方正仿宋_GBK" w:eastAsia="方正仿宋_GBK" w:cs="方正仿宋_GBK"/>
          <w:sz w:val="32"/>
          <w:szCs w:val="32"/>
        </w:rPr>
        <w:t>R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眼镜产品，产品信息包括（产品名称、产品尺寸、产品重要技术参数、取得的技术专利），如提案单位非A</w:t>
      </w:r>
      <w:r>
        <w:rPr>
          <w:rFonts w:ascii="方正仿宋_GBK" w:hAnsi="方正仿宋_GBK" w:eastAsia="方正仿宋_GBK" w:cs="方正仿宋_GBK"/>
          <w:sz w:val="32"/>
          <w:szCs w:val="32"/>
        </w:rPr>
        <w:t>R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眼镜企业，需提供第三方合作企业的介绍，该企业对本次征集活动的独家授权函及售后服务承诺；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（三）数字制作方案：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研究成都博物馆展陈及活动服务现状，合理规划A</w:t>
      </w:r>
      <w:r>
        <w:rPr>
          <w:rFonts w:ascii="方正仿宋_GBK" w:hAnsi="方正仿宋_GBK" w:eastAsia="方正仿宋_GBK" w:cs="方正仿宋_GBK"/>
          <w:sz w:val="32"/>
          <w:szCs w:val="32"/>
        </w:rPr>
        <w:t>R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眼镜产品的数字导览内容制作方案，包括：拟投入的数字制作规模、制作形式、制作标准、制作周期及成果审核标准；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（四）售后服务方案：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提案单位提供有利于推进双方合作经营的售后服务方案包括（软硬件及系统、人员培训、服务支撑、纠纷处理等）；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（五）宣传推广方案：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提案单位提供有利于推进双方合作经营的宣传推广方案。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（六）其他有利于双方合作经营的补充。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二、AR眼镜产品规格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提案单位应选用当前最先进的双目A</w:t>
      </w:r>
      <w:r>
        <w:rPr>
          <w:rFonts w:ascii="方正仿宋_GBK" w:hAnsi="方正仿宋_GBK" w:eastAsia="方正仿宋_GBK" w:cs="方正仿宋_GBK"/>
          <w:sz w:val="32"/>
          <w:szCs w:val="32"/>
        </w:rPr>
        <w:t>R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眼镜产品，符合用户现场使用便捷及保障时效性：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（一）AR眼镜主要技术规格：</w:t>
      </w:r>
    </w:p>
    <w:p>
      <w:pPr>
        <w:spacing w:line="58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重量≤</w:t>
      </w:r>
      <w:r>
        <w:rPr>
          <w:rFonts w:ascii="方正仿宋_GBK" w:hAnsi="方正仿宋_GBK" w:eastAsia="方正仿宋_GBK" w:cs="方正仿宋_GBK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0g；</w:t>
      </w:r>
    </w:p>
    <w:p>
      <w:pPr>
        <w:spacing w:line="58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摄像头：自动对焦，</w:t>
      </w:r>
      <w:r>
        <w:rPr>
          <w:rFonts w:ascii="方正仿宋_GBK" w:hAnsi="方正仿宋_GBK" w:eastAsia="方正仿宋_GBK" w:cs="方正仿宋_GBK"/>
          <w:sz w:val="32"/>
          <w:szCs w:val="32"/>
        </w:rPr>
        <w:t> 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800万像素；</w:t>
      </w:r>
    </w:p>
    <w:p>
      <w:pPr>
        <w:spacing w:line="58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光学现实：birdbath，视场角</w:t>
      </w:r>
      <w:r>
        <w:rPr>
          <w:rFonts w:ascii="方正仿宋_GBK" w:hAnsi="方正仿宋_GBK" w:eastAsia="方正仿宋_GBK" w:cs="方正仿宋_GBK"/>
          <w:sz w:val="32"/>
          <w:szCs w:val="32"/>
        </w:rPr>
        <w:t>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4</w:t>
      </w:r>
      <w:r>
        <w:rPr>
          <w:rFonts w:ascii="方正仿宋_GBK" w:hAnsi="方正仿宋_GBK" w:eastAsia="方正仿宋_GBK" w:cs="方正仿宋_GBK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度；</w:t>
      </w:r>
    </w:p>
    <w:p>
      <w:pPr>
        <w:spacing w:line="58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分辨率1920*1080；</w:t>
      </w:r>
    </w:p>
    <w:p>
      <w:pPr>
        <w:spacing w:line="580" w:lineRule="exact"/>
        <w:ind w:firstLine="1600" w:firstLineChars="5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透光率：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方正仿宋_GBK" w:hAnsi="方正仿宋_GBK" w:eastAsia="方正仿宋_GBK" w:cs="方正仿宋_GBK"/>
          <w:sz w:val="32"/>
          <w:szCs w:val="32"/>
        </w:rPr>
        <w:t>≥48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（二）主机主要技术规格：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内存：</w:t>
      </w:r>
      <w:r>
        <w:rPr>
          <w:rFonts w:ascii="方正仿宋_GBK" w:hAnsi="方正仿宋_GBK" w:eastAsia="方正仿宋_GBK" w:cs="方正仿宋_GBK"/>
          <w:sz w:val="32"/>
          <w:szCs w:val="32"/>
        </w:rPr>
        <w:t>≥8G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存储：</w:t>
      </w:r>
      <w:r>
        <w:rPr>
          <w:rFonts w:ascii="方正仿宋_GBK" w:hAnsi="方正仿宋_GBK" w:eastAsia="方正仿宋_GBK" w:cs="方正仿宋_GBK"/>
          <w:sz w:val="32"/>
          <w:szCs w:val="32"/>
        </w:rPr>
        <w:t>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6</w:t>
      </w:r>
      <w:r>
        <w:rPr>
          <w:rFonts w:ascii="方正仿宋_GBK" w:hAnsi="方正仿宋_GBK" w:eastAsia="方正仿宋_GBK" w:cs="方正仿宋_GBK"/>
          <w:sz w:val="32"/>
          <w:szCs w:val="32"/>
        </w:rPr>
        <w:t>4G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电池：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方正仿宋_GBK" w:hAnsi="方正仿宋_GBK" w:eastAsia="方正仿宋_GBK" w:cs="方正仿宋_GBK"/>
          <w:sz w:val="32"/>
          <w:szCs w:val="32"/>
        </w:rPr>
        <w:t>≥7000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毫安，工作时间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方正仿宋_GBK" w:hAnsi="方正仿宋_GBK" w:eastAsia="方正仿宋_GBK" w:cs="方正仿宋_GBK"/>
          <w:sz w:val="32"/>
          <w:szCs w:val="32"/>
        </w:rPr>
        <w:t>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小时；</w:t>
      </w:r>
    </w:p>
    <w:p>
      <w:pPr>
        <w:spacing w:line="580" w:lineRule="exact"/>
        <w:ind w:firstLine="1600" w:firstLineChars="5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系统：安卓。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（三）专利情况</w:t>
      </w:r>
    </w:p>
    <w:p>
      <w:pPr>
        <w:spacing w:line="58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（1）相关发明专利证书，如在审核期提交材料正明；</w:t>
      </w:r>
    </w:p>
    <w:p>
      <w:pPr>
        <w:spacing w:line="58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（2）近眼显示装置、系统相关知识产权；</w:t>
      </w:r>
    </w:p>
    <w:p>
      <w:pPr>
        <w:spacing w:line="580" w:lineRule="exact"/>
        <w:ind w:firstLine="1600" w:firstLineChars="5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（3）智能眼镜（双目）外观设计专利。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（四）授权情况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如提案单位非A</w:t>
      </w:r>
      <w:r>
        <w:rPr>
          <w:rFonts w:ascii="方正仿宋_GBK" w:hAnsi="方正仿宋_GBK" w:eastAsia="方正仿宋_GBK" w:cs="方正仿宋_GBK"/>
          <w:sz w:val="32"/>
          <w:szCs w:val="32"/>
        </w:rPr>
        <w:t>R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眼镜企业，需提供第三方合作企业的介绍，该企业对本次征集的独家授权函及售后服务承诺。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三、资质及业绩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提案单位应</w:t>
      </w:r>
      <w:r>
        <w:rPr>
          <w:rFonts w:ascii="方正仿宋_GBK" w:hAnsi="方正仿宋_GBK" w:eastAsia="方正仿宋_GBK" w:cs="方正仿宋_GBK"/>
          <w:sz w:val="32"/>
          <w:szCs w:val="32"/>
        </w:rPr>
        <w:t>具备相应的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资质及业绩：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（一）具有有效期内的</w:t>
      </w:r>
      <w:r>
        <w:rPr>
          <w:rFonts w:ascii="方正仿宋_GBK" w:hAnsi="方正仿宋_GBK" w:eastAsia="方正仿宋_GBK" w:cs="方正仿宋_GBK"/>
          <w:sz w:val="32"/>
          <w:szCs w:val="32"/>
        </w:rPr>
        <w:t>GB/T19001系列/IS09001系列质量管理体系认证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  <w:r>
        <w:rPr>
          <w:rFonts w:ascii="方正仿宋_GBK" w:hAnsi="方正仿宋_GBK" w:eastAsia="方正仿宋_GBK" w:cs="方正仿宋_GBK"/>
          <w:sz w:val="32"/>
          <w:szCs w:val="32"/>
        </w:rPr>
        <w:t>ISO/IEC 20000系列信息技术服务管理体系认证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  <w:r>
        <w:rPr>
          <w:rFonts w:ascii="方正仿宋_GBK" w:hAnsi="方正仿宋_GBK" w:eastAsia="方正仿宋_GBK" w:cs="方正仿宋_GBK"/>
          <w:sz w:val="32"/>
          <w:szCs w:val="32"/>
        </w:rPr>
        <w:t>GB/T24001系列/ISO14001系列环境管理体系认证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  <w:r>
        <w:rPr>
          <w:rFonts w:ascii="方正仿宋_GBK" w:hAnsi="方正仿宋_GBK" w:eastAsia="方正仿宋_GBK" w:cs="方正仿宋_GBK"/>
          <w:sz w:val="32"/>
          <w:szCs w:val="32"/>
        </w:rPr>
        <w:t>GB/T45001系列/OHSAS18001系列职业健康安全管理体系认证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（二）提案单位有软件认证CMMI3（含）以上资质证书；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（三）提案单位具备网络文化经营许可证及增值电信业务许可证；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（四）提案单位具备国家一级博物馆（博物院）导览类项目或导览类合作项目的案例，最多提供8份合同；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（五）提案单位提供的技术或产品，曾获得过的文博技术奖项或国家类技术奖项；</w:t>
      </w:r>
    </w:p>
    <w:p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（六）其他有利于双方合作经营的补充。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四、项目团队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需要实施团队具备相应的职称等级，技术负责人需要相应的技术认证，可以更好的把控项目的实施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（一）项目实施团队人员中需具备至少</w:t>
      </w:r>
      <w:r>
        <w:rPr>
          <w:rFonts w:ascii="方正仿宋_GBK" w:hAnsi="方正仿宋_GBK" w:eastAsia="方正仿宋_GBK" w:cs="方正仿宋_GBK"/>
          <w:sz w:val="32"/>
          <w:szCs w:val="32"/>
        </w:rPr>
        <w:t>3名以上工程师或高级工程师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（二）项目技术负责人具有高级信息系统集成项目管理师或</w:t>
      </w:r>
      <w:r>
        <w:rPr>
          <w:rFonts w:ascii="方正仿宋_GBK" w:hAnsi="方正仿宋_GBK" w:eastAsia="方正仿宋_GBK" w:cs="方正仿宋_GBK"/>
          <w:sz w:val="32"/>
          <w:szCs w:val="32"/>
        </w:rPr>
        <w:t>PMP证书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（三）团队人员所学专业应涵盖博物馆学、考古学、播音主持、艺术设计、动漫设计、计算机；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（四）项目团队人员应为提案单位正式员工，提供人员姓名，半年内至少连续</w:t>
      </w:r>
      <w:r>
        <w:rPr>
          <w:rFonts w:ascii="方正仿宋_GBK" w:hAnsi="方正仿宋_GBK" w:eastAsia="方正仿宋_GBK" w:cs="方正仿宋_GBK"/>
          <w:sz w:val="32"/>
          <w:szCs w:val="32"/>
        </w:rPr>
        <w:t>6个月的由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提案</w:t>
      </w:r>
      <w:r>
        <w:rPr>
          <w:rFonts w:ascii="方正仿宋_GBK" w:hAnsi="方正仿宋_GBK" w:eastAsia="方正仿宋_GBK" w:cs="方正仿宋_GBK"/>
          <w:sz w:val="32"/>
          <w:szCs w:val="32"/>
        </w:rPr>
        <w:t>单位为该人员缴纳社会保险证明扫描件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（五）其他有利于项目实施的补充。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五、售后服务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提案单位提交有利于推进双方合作经营的售后服务方案：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（一）提案单位的售后服务方案的合理性、可行性；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（二）提案单位的人员培训方案；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（三）提案单位对本次合作经营的运营支撑：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（四）提案单位对运营中可能出现的纠纷应急处理预案；</w:t>
      </w:r>
    </w:p>
    <w:p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（五）其他有利于售后服务的补充。</w:t>
      </w:r>
    </w:p>
    <w:p>
      <w:pPr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汉仪中宋简">
    <w:altName w:val="微软雅黑"/>
    <w:panose1 w:val="00000000000000000000"/>
    <w:charset w:val="86"/>
    <w:family w:val="modern"/>
    <w:pitch w:val="default"/>
    <w:sig w:usb0="00000000" w:usb1="00000000" w:usb2="00000002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2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2021-07-30T07:07:27Z</dcterms:created>
  <dc:creator>yaonuo</dc:creator>
  <cp:lastModifiedBy>yaonuo</cp:lastModifiedBy>
  <dcterms:modified xsi:type="dcterms:W3CDTF">2021-07-30T07:07:39Z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E5842AB96C1E4729A54D4CC044A60C81</vt:lpwstr>
  </property>
</Properties>
</file>